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6" w:rsidRPr="009F03E6" w:rsidRDefault="009F03E6" w:rsidP="009F03E6">
      <w:pPr>
        <w:spacing w:after="0" w:line="240" w:lineRule="auto"/>
        <w:ind w:right="28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В Начале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 xml:space="preserve"> была Сказка /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Феано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. Библиотека проекта «Галактический Ковчег», серия «Книги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 xml:space="preserve"> С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еми Морей», кол-во страниц – 152</w:t>
      </w:r>
    </w:p>
    <w:p w:rsidR="009F03E6" w:rsidRPr="009F03E6" w:rsidRDefault="009F03E6" w:rsidP="009F03E6">
      <w:pPr>
        <w:spacing w:after="0" w:line="240" w:lineRule="auto"/>
        <w:ind w:right="28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ISBN: 978-5-8853-4548-5</w:t>
      </w:r>
    </w:p>
    <w:p w:rsidR="009F03E6" w:rsidRPr="009F03E6" w:rsidRDefault="009F03E6" w:rsidP="009F03E6">
      <w:pPr>
        <w:spacing w:after="0" w:line="240" w:lineRule="auto"/>
        <w:ind w:right="28"/>
        <w:jc w:val="both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</w:p>
    <w:p w:rsidR="009F03E6" w:rsidRPr="009F03E6" w:rsidRDefault="009F03E6" w:rsidP="009F03E6">
      <w:pPr>
        <w:spacing w:after="0" w:line="240" w:lineRule="auto"/>
        <w:ind w:right="28"/>
        <w:jc w:val="both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</w:p>
    <w:p w:rsidR="009F03E6" w:rsidRPr="009F03E6" w:rsidRDefault="009F03E6" w:rsidP="009F03E6">
      <w:pPr>
        <w:spacing w:after="0" w:line="240" w:lineRule="auto"/>
        <w:ind w:right="28"/>
        <w:jc w:val="both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</w:p>
    <w:p w:rsidR="009F03E6" w:rsidRPr="009F03E6" w:rsidRDefault="009F03E6" w:rsidP="009F03E6">
      <w:pPr>
        <w:spacing w:after="0" w:line="240" w:lineRule="auto"/>
        <w:ind w:right="28"/>
        <w:jc w:val="both"/>
        <w:rPr>
          <w:rFonts w:ascii="Tahoma" w:eastAsia="Times New Roman" w:hAnsi="Tahoma" w:cs="Tahoma"/>
          <w:b/>
          <w:color w:val="0F243E" w:themeColor="text2" w:themeShade="80"/>
          <w:sz w:val="24"/>
          <w:szCs w:val="24"/>
          <w:lang w:eastAsia="ru-RU"/>
        </w:rPr>
      </w:pPr>
    </w:p>
    <w:p w:rsidR="009F03E6" w:rsidRPr="009F03E6" w:rsidRDefault="009F03E6" w:rsidP="009F03E6">
      <w:pPr>
        <w:spacing w:after="0" w:line="240" w:lineRule="auto"/>
        <w:ind w:right="28"/>
        <w:jc w:val="both"/>
        <w:rPr>
          <w:rFonts w:ascii="Tahoma" w:eastAsia="Times New Roman" w:hAnsi="Tahoma" w:cs="Tahoma"/>
          <w:b/>
          <w:color w:val="0F243E" w:themeColor="text2" w:themeShade="80"/>
          <w:sz w:val="24"/>
          <w:szCs w:val="24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 xml:space="preserve">Поэтико-философское исследование Начал – приглашение к размышлению о судьбе цивилизации. Сказочная философия или философская сказка, которой, по сути, являются многие древнейшие первоисточники, исходит из понимания, что  человек – Вселенная,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самопознающая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 xml:space="preserve"> и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>самотворящая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  <w:t xml:space="preserve"> в меру способности воспринимать свой внутренний мир в отражении внешнего мира. Вселенная, содержащаяся в любом  человеке мерой созревания души,  это наше будущее и прошлое в единстве  настоящего.  От того, каким именно мы осознаем Начало мира,  зависит не только ближайшее будущее, но и Конец, как качественный переход в Новое Галактическое Начало. Книга обобщает авторский замысел воссоздания древнейшей пифагорейской Вселенной с названием Водоворот, отражённой  зримой проекцией – галактикой «Водоворот М51», наблюдаемой астрономами с Земли на «кончике хвоста» созвездия «Большая Медведица».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4"/>
          <w:szCs w:val="24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Разделы книги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Часть 1 - О  Начале 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Часть 2 - Сотворение мира 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Часть 3 - Древнейшие тексты и мистерии в ритмах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right="28"/>
        <w:jc w:val="both"/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24"/>
          <w:szCs w:val="24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 xml:space="preserve">© </w:t>
      </w:r>
      <w:proofErr w:type="spell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>Феано</w:t>
      </w:r>
      <w:proofErr w:type="spellEnd"/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24"/>
          <w:szCs w:val="24"/>
          <w:lang w:eastAsia="ru-RU"/>
        </w:rPr>
        <w:t xml:space="preserve"> </w:t>
      </w:r>
    </w:p>
    <w:p w:rsidR="009F03E6" w:rsidRPr="009F03E6" w:rsidRDefault="009F03E6" w:rsidP="009F03E6">
      <w:pPr>
        <w:spacing w:after="60" w:line="240" w:lineRule="auto"/>
        <w:jc w:val="right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imes New Roman" w:eastAsia="Times New Roman" w:hAnsi="Times New Roman" w:cs="Times New Roman"/>
          <w:i/>
          <w:color w:val="0F243E" w:themeColor="text2" w:themeShade="80"/>
          <w:szCs w:val="20"/>
          <w:lang w:eastAsia="ru-RU"/>
        </w:rPr>
        <w:br w:type="page"/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imprint/>
          <w:color w:val="0F243E" w:themeColor="text2" w:themeShade="80"/>
          <w:sz w:val="28"/>
          <w:szCs w:val="28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51pt;height:16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оэтико-философское &#10;Исследование Начал&#10;"/>
          </v:shape>
        </w:pic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32"/>
          <w:szCs w:val="32"/>
          <w:lang w:eastAsia="ru-RU"/>
        </w:rPr>
        <w:pict>
          <v:shape id="_x0000_i1026" type="#_x0000_t138" style="width:340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 Начале была Сказка"/>
          </v:shape>
        </w:pic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>Серия «Книги</w:t>
      </w:r>
      <w:proofErr w:type="gram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 xml:space="preserve"> С</w:t>
      </w:r>
      <w:proofErr w:type="gramEnd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>еми Морей»</w:t>
      </w: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>Библиотека проекта «Галактический Ковчег»</w:t>
      </w: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4"/>
          <w:szCs w:val="24"/>
          <w:lang w:eastAsia="ru-RU"/>
        </w:rPr>
        <w:t>2017</w:t>
      </w:r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  <w:br w:type="page"/>
      </w: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Cambria" w:eastAsia="Times New Roman" w:hAnsi="Cambria" w:cs="Times New Roman"/>
          <w:b/>
          <w:bCs/>
          <w:noProof/>
          <w:color w:val="0F243E" w:themeColor="text2" w:themeShade="80"/>
          <w:kern w:val="28"/>
          <w:sz w:val="32"/>
          <w:szCs w:val="32"/>
          <w:lang w:eastAsia="ru-RU"/>
        </w:rPr>
        <w:drawing>
          <wp:inline distT="0" distB="0" distL="0" distR="0">
            <wp:extent cx="4752975" cy="3495675"/>
            <wp:effectExtent l="19050" t="0" r="9525" b="0"/>
            <wp:docPr id="2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/>
          <w:bCs/>
          <w:color w:val="0F243E" w:themeColor="text2" w:themeShade="80"/>
          <w:kern w:val="28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/>
          <w:bCs/>
          <w:color w:val="0F243E" w:themeColor="text2" w:themeShade="80"/>
          <w:kern w:val="28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b/>
          <w:bCs/>
          <w:color w:val="0F243E" w:themeColor="text2" w:themeShade="80"/>
          <w:kern w:val="28"/>
          <w:sz w:val="28"/>
          <w:szCs w:val="28"/>
          <w:lang w:eastAsia="ru-RU"/>
        </w:rPr>
        <w:t>УСТРЕМЛЕНЬЕ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Томленьем окутаны души людские: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То к свету летят, то увязнут во мгле,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Стремятся в пути отыскать кладовые,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Но жемчуг духовный… взрастает в уме.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 ум, утверждаясь, победы считает,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Где будто б вершины души покорил.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Бедняга и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скряга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… в сомненьях блуждает,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Но щедрый на свет полетел, полон сил!</w:t>
      </w:r>
      <w:proofErr w:type="gramEnd"/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А как разорваться меж 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Светом и тьмою?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Вокруг и нужда, и война, и забота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Считать от зарплаты, ведь с нищей сумою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Безрадостно жить, а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тужить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неохота.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Душа, словно пленница, то засияет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 любовных лучах, в ожиданье весны,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 то, засыпая, в мир</w:t>
      </w:r>
      <w:r w:rsidRPr="009F03E6"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  <w:t>а</w:t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жах блуждает,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 следом страдает, поверив во сны…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Стремление к свету – опора надёжна,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Но лишь удержи и продли устремленье,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Тогда и откроется дар – 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осторожно,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как капля из сот – 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Золотое мгновенье!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Стремись неустанно, 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сквозь грани и щели,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Лучись ежечасно и ежеминутно,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Увидишь сиянье не в сказке, - на деле!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Разверзнется тьма, разорвутся все путы. 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И ярче светила Она воссияет,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Что бездну познала в Начале времён,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Она дарит Солнцу 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и звёзды рождает.</w:t>
      </w:r>
    </w:p>
    <w:p w:rsidR="009F03E6" w:rsidRPr="009F03E6" w:rsidRDefault="009F03E6" w:rsidP="009F03E6">
      <w:pPr>
        <w:spacing w:before="240"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 xml:space="preserve">В Ней тайная Сила мудрейших Имён. </w:t>
      </w: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0" w:line="240" w:lineRule="auto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eastAsia="ru-RU"/>
        </w:rPr>
        <w:br w:type="page"/>
      </w:r>
    </w:p>
    <w:p w:rsidR="009F03E6" w:rsidRPr="009F03E6" w:rsidRDefault="009F03E6" w:rsidP="009F03E6">
      <w:pPr>
        <w:spacing w:before="240" w:after="60" w:line="240" w:lineRule="auto"/>
        <w:jc w:val="both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</w:p>
    <w:p w:rsidR="009F03E6" w:rsidRPr="009F03E6" w:rsidRDefault="009F03E6" w:rsidP="009F03E6">
      <w:pPr>
        <w:spacing w:before="240" w:after="60" w:line="240" w:lineRule="auto"/>
        <w:ind w:firstLine="720"/>
        <w:jc w:val="both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  <w:proofErr w:type="gram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В Начале</w:t>
      </w:r>
      <w:proofErr w:type="gramEnd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 xml:space="preserve"> была Сказка, ведь только Замысел сказочника  может реализовать миф или волшебные превращения развития миров. Нет сказки - нет реальности. Но истинный сказочник  сам мог быть рождён  исключительно  сказкой,  </w:t>
      </w:r>
      <w:proofErr w:type="gram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иначе</w:t>
      </w:r>
      <w:proofErr w:type="gramEnd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 xml:space="preserve">  откуда бы он взял  сюжет, как не из своей личной  истории жизни!  Так появилась иллюзорная  или нецелостная картина мира, частичное восприятие Замысла породило частичную реализацию сказки в её частичном подобии.</w:t>
      </w:r>
    </w:p>
    <w:p w:rsidR="009F03E6" w:rsidRPr="009F03E6" w:rsidRDefault="009F03E6" w:rsidP="009F03E6">
      <w:pPr>
        <w:spacing w:before="240" w:after="60" w:line="240" w:lineRule="auto"/>
        <w:ind w:firstLine="720"/>
        <w:jc w:val="both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 xml:space="preserve">Если сопоставить значения понятий время и сказка, а сделать это необходимо, ибо любое время рождается в его Замысле,  понятным становится и </w:t>
      </w:r>
      <w:proofErr w:type="spell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дуада</w:t>
      </w:r>
      <w:proofErr w:type="spellEnd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 xml:space="preserve"> Великого Предела: Реализованная сказка = </w:t>
      </w:r>
      <w:proofErr w:type="spell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Безвремение</w:t>
      </w:r>
      <w:proofErr w:type="spellEnd"/>
      <w:proofErr w:type="gramStart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… Э</w:t>
      </w:r>
      <w:proofErr w:type="gramEnd"/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то вечные  «ЖИЛИ-БЫЛИ…»</w:t>
      </w:r>
    </w:p>
    <w:p w:rsidR="009F03E6" w:rsidRPr="009F03E6" w:rsidRDefault="009F03E6" w:rsidP="009F03E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t>ОКЕАН  СКАЗОК</w:t>
      </w: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bCs/>
          <w:noProof/>
          <w:color w:val="0F243E" w:themeColor="text2" w:themeShade="80"/>
          <w:kern w:val="28"/>
          <w:sz w:val="28"/>
          <w:szCs w:val="28"/>
          <w:lang w:eastAsia="ru-RU"/>
        </w:rPr>
        <w:drawing>
          <wp:inline distT="0" distB="0" distL="0" distR="0">
            <wp:extent cx="3973086" cy="2743200"/>
            <wp:effectExtent l="19050" t="0" r="8364" b="0"/>
            <wp:docPr id="3" name="Рисунок 9" descr="Картинки по запросу начало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начало ми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31" cy="276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3E6"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  <w:br w:type="page"/>
      </w: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Tahoma" w:eastAsia="Times New Roman" w:hAnsi="Tahoma" w:cs="Tahoma"/>
          <w:bCs/>
          <w:color w:val="0F243E" w:themeColor="text2" w:themeShade="80"/>
          <w:kern w:val="28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</w:pPr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  <w:t>Часть 1</w:t>
      </w:r>
      <w:proofErr w:type="gramStart"/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  <w:t xml:space="preserve">    О</w:t>
      </w:r>
      <w:proofErr w:type="gramEnd"/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  <w:t xml:space="preserve">  НАЧАЛЕ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Посвящается пифагорейцам всех времён.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Когда лучами рвётся покрывало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Ночное – то великое начало,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Из тьмы времён восходят очи мира,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Взрастает оратория  эфира,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И танец запускает плясуна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На круг, где хороводят времена…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Каждый человек – Вселенная,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самопознающая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и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самотворящая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в меру способностей воспринимать свой внутренний мир в отражении внешнего мира. В человеке есть семена множества миров и идей, которые он проращивает или отбрасывает при самопознании, реализуя свободный выбор жизненного пути.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Творец строит Мироздание не на пустом месте, а из своих представлений, создает красивый, а лучше сказочный Замысел и... и отпускает его на волю, в свободное взаимодействие сотворённых Им созданий... Отпускает из своего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Безвремения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во временное плавание, причём, каждый по образу и подобию, сам себе творец, выбирает свои пути и сроки временной жизни до возвращения в исходную купель -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Безвремения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</w:pPr>
      <w:bookmarkStart w:id="0" w:name="_Toc490588719"/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  <w:t>СМЫСЛ ПУТИ</w:t>
      </w:r>
      <w:bookmarkEnd w:id="0"/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Загадка ум пленит, разгадку - не сберечь.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Лишь Тайны мира возбуждают интерес,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И для того, чтоб наблюдать Игры процесс,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Он скрыл Себя, оставив мыслей хор и речь…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Движенье вечно… относительно миров,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Чья суть - матрёшки или листики на древе.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Но восприятие… рождается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во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чреве…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Покоя нет в сознанье мыслящих умов…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В мечтах является покой, как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Недеянье</w:t>
      </w:r>
      <w:proofErr w:type="spellEnd"/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Блаженства истины,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доступное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немногим.</w:t>
      </w:r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Чтоб разъяснять идущим мимо смысл дороги,</w:t>
      </w:r>
      <w:proofErr w:type="gramEnd"/>
    </w:p>
    <w:p w:rsidR="009F03E6" w:rsidRPr="009F03E6" w:rsidRDefault="009F03E6" w:rsidP="009F03E6">
      <w:pPr>
        <w:spacing w:after="0" w:line="240" w:lineRule="auto"/>
        <w:ind w:firstLine="720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Он стражу выставил у Тайны мирозданья….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Хочется напомнить, что реальность ваша такова, какой вы её воспринимаете. Всё таково, как именно вы видите глазами и умом, душой и сердцем. И если вы задумаетесь об этом всерьёз, найдёте в себе скрытого сказочника, играющего с вами малопонятную для ума игру… в события жизни, но главное, - возможно, увидите разгадку. Часто понимание связи произошедших событий приходит не в результате долгих и трудных размышлений, а внезапно. Вдруг, как по щучьему веленью, картинки пережитого выстраиваются в логический ряд образов, и всё становится ясным и простым. Удивительно красивым и трогательным. Как в сказке! И это… не сказка, а реальная помощь сказочника, скрытого до поры в вас самих. Такова вечная мистерия просветления человека.  Философия взгляда сказочника…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Сказочная философия или философская сказка, о которой веду речь, ставит в приоритет формулу: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Всё зависит от того, </w:t>
      </w:r>
      <w:r w:rsidRPr="009F03E6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eastAsia="ru-RU"/>
        </w:rPr>
        <w:t>Кто смотрит (воспринимает) и</w:t>
      </w:r>
      <w:proofErr w:type="gramStart"/>
      <w:r w:rsidRPr="009F03E6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eastAsia="ru-RU"/>
        </w:rPr>
        <w:t xml:space="preserve"> З</w:t>
      </w:r>
      <w:proofErr w:type="gramEnd"/>
      <w:r w:rsidRPr="009F03E6">
        <w:rPr>
          <w:rFonts w:ascii="Tahoma" w:eastAsia="Times New Roman" w:hAnsi="Tahoma" w:cs="Tahoma"/>
          <w:b/>
          <w:color w:val="0F243E" w:themeColor="text2" w:themeShade="80"/>
          <w:sz w:val="28"/>
          <w:szCs w:val="28"/>
          <w:lang w:eastAsia="ru-RU"/>
        </w:rPr>
        <w:t>ачем</w:t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,  при этом важно не «сколько, где и когда» вы решаете свои задачи, а Кто вы и с Кем!  Кем себя воспринимаете и с Кем ведёте внутренний, сердечный разговор...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Сказочной философией предлагается развивать в себе взгляд Творца и принимать мысленно Его «точку зрения» на мир, такое расширенное восприятие Мироздания и есть основа творчества безначального.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Триединство сказочного философа или философии сказочника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–э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то по сути единство «место, время, люди», имеющее свою особую структуру. Стремление к гармоничному сочетанию всех составляющих в себе порождает сказочное отношение к жизни. Это похоже на создание музыкальной мелодии, звучащей постоянно, но в разных вариациях. Люди, забывшие сказки, мыслят устаревшим, привычным образом. Кто-то полагается лишь на поиск науки, кто-то на интуицию, а кто-то живёт и не думает - зачем...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Исторически у нас сложилось противоречивое отношение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ко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внешнему миру, с одной стороны люди воспринимают его, как божье творение, а с другой – отрицанием божественного начала. Для пояснения придётся воспользоваться справочным материалом.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proofErr w:type="spellStart"/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lastRenderedPageBreak/>
        <w:t>Теи́зм</w:t>
      </w:r>
      <w:proofErr w:type="spellEnd"/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(</w:t>
      </w:r>
      <w:hyperlink r:id="rId6" w:tooltip="Греческий язык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греч.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Θεός — </w:t>
      </w:r>
      <w:hyperlink r:id="rId7" w:tooltip="Бог" w:history="1">
        <w:proofErr w:type="gramStart"/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Бог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) — в широком значении — вера в Бога или богов; в узком понимании — религиозно-философское мировоззрение, утверждающее существование </w:t>
      </w:r>
      <w:hyperlink r:id="rId8" w:tooltip="Монот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монотеистического Бога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, создавшего мир и продолжающего в нём свою активность.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Религиозное мировоззрение, исходящее из понимания Бога как абсолютной личности, пребывающей вне мира, свободно создавшей его и действующей в нём,  присуще мудрецам и духовным людям. Признание потусторонности Бога отличает теизм от пантеизма, признание непрерывной активности Бога - от деизма. К теизму традиционно относят такие вероучения, как </w:t>
      </w:r>
      <w:hyperlink r:id="rId9" w:tooltip="Иуда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иудаизм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,  </w:t>
      </w:r>
      <w:hyperlink r:id="rId10" w:tooltip="Христианство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христианство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и </w:t>
      </w:r>
      <w:hyperlink r:id="rId11" w:tooltip="Исла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ислам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Теизм в узком смысле, в отличие от </w:t>
      </w:r>
      <w:hyperlink r:id="rId12" w:tooltip="Д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деизма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, полагает, что Бог не только является творцом мира, но и принимает непосредственное или опосредованное участие в его управлении. Отсюда представление о божественном </w:t>
      </w:r>
      <w:hyperlink r:id="rId13" w:tooltip="Промысл Божий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провидении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. Теизм в широком смысле включает в себя </w:t>
      </w:r>
      <w:hyperlink r:id="rId14" w:tooltip="Монот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монотеизм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, </w:t>
      </w:r>
      <w:hyperlink r:id="rId15" w:tooltip="Полит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политеизм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, </w:t>
      </w:r>
      <w:hyperlink r:id="rId16" w:tooltip="Пант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пантеизм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и </w:t>
      </w:r>
      <w:hyperlink r:id="rId17" w:tooltip="Д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деизм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.</w:t>
      </w:r>
    </w:p>
    <w:p w:rsidR="009F03E6" w:rsidRPr="009F03E6" w:rsidRDefault="009F03E6" w:rsidP="009F03E6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Атеи́зм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(</w:t>
      </w:r>
      <w:proofErr w:type="spellStart"/>
      <w:r w:rsidRPr="009F03E6">
        <w:rPr>
          <w:rFonts w:ascii="Times New Roman" w:eastAsia="Times New Roman" w:hAnsi="Times New Roman" w:cs="Times New Roman"/>
          <w:b/>
          <w:i/>
          <w:szCs w:val="20"/>
          <w:lang w:eastAsia="ru-RU"/>
        </w:rPr>
        <w:fldChar w:fldCharType="begin"/>
      </w:r>
      <w:r w:rsidRPr="009F03E6">
        <w:rPr>
          <w:rFonts w:ascii="Times New Roman" w:eastAsia="Times New Roman" w:hAnsi="Times New Roman" w:cs="Times New Roman"/>
          <w:b/>
          <w:i/>
          <w:szCs w:val="20"/>
          <w:lang w:eastAsia="ru-RU"/>
        </w:rPr>
        <w:instrText>HYPERLINK "http://ru.wikipedia.org/wiki/%D0%94%D1%80%D0%B5%D0%B2%D0%BD%D0%B5%D0%B3%D1%80%D0%B5%D1%87%D0%B5%D1%81%D0%BA%D0%B8%D0%B9_%D1%8F%D0%B7%D1%8B%D0%BA" \o "Древнегреческий язык"</w:instrText>
      </w:r>
      <w:r w:rsidRPr="009F03E6">
        <w:rPr>
          <w:rFonts w:ascii="Times New Roman" w:eastAsia="Times New Roman" w:hAnsi="Times New Roman" w:cs="Times New Roman"/>
          <w:b/>
          <w:i/>
          <w:szCs w:val="20"/>
          <w:lang w:eastAsia="ru-RU"/>
        </w:rPr>
        <w:fldChar w:fldCharType="separate"/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др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.-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греч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.</w:t>
      </w:r>
      <w:r w:rsidRPr="009F03E6">
        <w:rPr>
          <w:rFonts w:ascii="Times New Roman" w:eastAsia="Times New Roman" w:hAnsi="Times New Roman" w:cs="Times New Roman"/>
          <w:b/>
          <w:i/>
          <w:szCs w:val="20"/>
          <w:lang w:eastAsia="ru-RU"/>
        </w:rPr>
        <w:fldChar w:fldCharType="end"/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ἄθεος — «отрицание богов», «безбожие»; от 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ἀ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— «без» + θεός — «бог») в широком смысле — отрицание </w:t>
      </w:r>
      <w:hyperlink r:id="rId18" w:tooltip="Вера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веры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 в существование </w:t>
      </w:r>
      <w:hyperlink r:id="rId19" w:tooltip="Бог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богов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; в более узком — убеждение в том, что богов не существует. В самом широком смысле атеизм — простое отсутствие веры в существование любого из богов. Семена теизма и атеизма присутствуют в каждом из нас. Атеизм противоположен </w:t>
      </w:r>
      <w:hyperlink r:id="rId20" w:tooltip="Теизм" w:history="1">
        <w:r w:rsidRPr="009F03E6">
          <w:rPr>
            <w:rFonts w:ascii="Tahoma" w:eastAsia="Times New Roman" w:hAnsi="Tahoma" w:cs="Tahoma"/>
            <w:color w:val="0F243E" w:themeColor="text2" w:themeShade="80"/>
            <w:sz w:val="28"/>
            <w:szCs w:val="28"/>
            <w:lang w:eastAsia="ru-RU"/>
          </w:rPr>
          <w:t>теизму</w:t>
        </w:r>
      </w:hyperlink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и является той самой основой, на которой взрастает духовность человека.  </w:t>
      </w:r>
    </w:p>
    <w:p w:rsidR="009F03E6" w:rsidRPr="009F03E6" w:rsidRDefault="009F03E6" w:rsidP="009F03E6">
      <w:pPr>
        <w:shd w:val="clear" w:color="auto" w:fill="FFFFFF"/>
        <w:spacing w:before="96" w:after="120" w:line="288" w:lineRule="atLeast"/>
        <w:ind w:firstLine="720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Отрицающий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Бога или богов в процессе самопознания неизбежно идёт и однажды приходит к постижению своей божественной природы и пониманию Единства Бога – Творящего Принципа.  Если взглянуть на это утверждение с другой стороны, можно заметить, что и теизм также является основой, на которой взрастает духовность человека, ибо нет предела совершенствованию, но возможно и понижение уровня духовности.   Сохраняя мировую Гармонию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Космоса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сосуществуют две ветви единого сознания: эволюция и инволюция духа. Корень атеизма в той</w:t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ab/>
        <w:t xml:space="preserve">ветви теизма, из которой выпадают, отталкиваясь эгоистичными желаниями,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слабоверящие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в Бога создания.  Ростки обеих ветвей прорастают в миры материальные Желанием Бога, Замыслом великой Игры, для бесконечно творческого воплощения  божественных Идей.  И вера, и отрицание Бога, приводят к образованию множественных форм, путей восхождения духа к новому Единству,  к появлению многоцветного веера различных верований, убеждений, толкований о мире, Боге, Абсолюте, Едином.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lastRenderedPageBreak/>
        <w:t xml:space="preserve"> </w:t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ab/>
        <w:t>Наука, философия и религия современности по-разному говорят о Начале мира, рождении человека разумного, происхождении жизни на Земле. За последние несколько лет научных теорий по этим важнейшим темам стало так много, что за всеми не уследить. Однако же, в глубине души каждый человек чувствует истинное положение дел, и даже если на время он становится заложником той или иной общепринятой системы взглядов, догматичных убеждений, его сердце знает истину, его душа чувствует Свет истинный, а дух в состоянии устремлённости  к истине сливается с нею.  Наукообразные слова и строгие доказательства, религиозные догматы и философские парадигмы, не мешают Свету проникать в любое сознание в той мере, на какую сам человек открывается миру истинного Знания. И лучший помощник – Сказка! Почему же именно сказка, а не научный факт или религия?</w:t>
      </w:r>
    </w:p>
    <w:p w:rsidR="009F03E6" w:rsidRPr="009F03E6" w:rsidRDefault="009F03E6" w:rsidP="009F03E6">
      <w:pPr>
        <w:keepNext/>
        <w:spacing w:after="0" w:line="240" w:lineRule="auto"/>
        <w:ind w:firstLine="720"/>
        <w:jc w:val="center"/>
        <w:outlineLvl w:val="0"/>
        <w:rPr>
          <w:rFonts w:ascii="Tahoma" w:eastAsia="Times New Roman" w:hAnsi="Tahoma" w:cs="Tahoma"/>
          <w:i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</w:pPr>
      <w:bookmarkStart w:id="1" w:name="_Toc490588720"/>
      <w:r w:rsidRPr="009F03E6">
        <w:rPr>
          <w:rFonts w:ascii="Cambria" w:eastAsia="Times New Roman" w:hAnsi="Cambria" w:cs="Times New Roman"/>
          <w:b/>
          <w:bCs/>
          <w:color w:val="0F243E" w:themeColor="text2" w:themeShade="80"/>
          <w:kern w:val="28"/>
          <w:sz w:val="32"/>
          <w:szCs w:val="32"/>
          <w:lang w:eastAsia="ru-RU"/>
        </w:rPr>
        <w:t>Золотая паутинка</w:t>
      </w:r>
      <w:bookmarkEnd w:id="1"/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Физическая картина мира в сферическом восприятии поэта.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Целью такого взгляда на мир является необходимость расширения сознания до сферического мировосприятия. Единство мира реализуется благодаря своему противоположному основанию: кажущемуся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многоуровнему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и разделённому сосуществованию наших персональных миров, растущих вселенных, сосуществующих в восприятии.  Миров Единства, воспринимаемых как бы отдельными умами, чувствами, генетической памятью каждого человека, на интуитивном уровне сознания.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Волны, принимаемые душой человека, сохраняющие структуры вечных Идей Космической Этики в морях духовности, распространяются в «границах своей безграничности» благодаря возможности отражения, способности активировать  подобие, воспроизводить своё эхо в мирах более медленных, менее идеальных, эфирных. Те, в свою очередь, поддерживают непрерывность своего существования отражением "тверди" иных берегов мира (границ, граней) в море Вечности. А само  море это неизмеримо, и потому порождает мерные миры по необходимости, для самосохранения Идеи Космического Единства миров.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Миры идей существуют сознанием, движущимся по мирам собственной реализации в мирах материальных. Кто придумал эту Сказку! Исходно неразделимые миры разделяются условными гранями, создаваемыми Замыслами воплощения идей, и соединяются Единым Законом </w:t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lastRenderedPageBreak/>
        <w:t xml:space="preserve">сохранения. При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набегании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духовной волны на грань среды с более медленным течением времени, по аналогии с водной средой, образуется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солитон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, как результат торможения или инерции движущейся волны, в виде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тороидального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вихря, имеющего осью «материнскую ось Идеи», проявленную  целью в мире более плотной среды. Системное время каждого ограниченного мира замкнуто, но миры взаимосвязаны невидимыми мостиками – осью, возможностью преодолеть ограничения, необходимостью, Единством Закона сохранения. Фракталы Единого, мы с вами, умом воспринимаем законы физического мира: законы сохранения симметрии, отражения, взаимодействия </w:t>
      </w:r>
      <w:proofErr w:type="spellStart"/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электро-магнитных</w:t>
      </w:r>
      <w:proofErr w:type="spellEnd"/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полей, законы сохранения движения, импульса... Но откуда взялись эти физические законы!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Маленькое напоминание. Когда потомки, читая краткое изложение многолетнего труда мудрого человека, истинного учёного, берутся ставить оценку – «была допущена ошибка» или «он не учёл кое-что» – они не понимают во всех без исключения случаях собственной узости взгляда на вывод, полученный учёным. В большинстве случаев он оказался ошибочен лишь для самих воспринимающих, лишь в рамках их современного понимания, в координатах иного времени. Но учёный уровня древнего мудреца, а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таких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немало в нашей с вами истории, никогда не будет понятен полностью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со-временникам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, в любом времени.  Для глубокого понимания требуется своё время созревания и...  своя сказка воплощения созревшего семени в мир галактический.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Древний мудрец, будучи несовершенным земным и ошибающимся в чём-то человеком, 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вневременен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галактичен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и потому недоступен современникам. Уровень древнего мудреца превосходит любой временный потолок знания уже потому, что оставил позади себя временную жизнь, и существует для нас и ради нас - в вечности. 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Со временем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со-временники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, достигнув уровня древнего мудреца, поймут, как сильно они ошибались, идя со временем, то есть, будучи носителями нового знания,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сил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молодого поколения, смелого в выводах и активного в дерзаниях. Но древность и есть Исток, в котором сходятся все концы системных времён, порождённых им.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Для примера сравните труд ума-муравья, шустро бегающего и научно познающего земной мир вокруг муравейника, с трудом ума-планеты древней, несущей на себе жизнь многих созданий и сознаний.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О, как «медленно» она вращается вокруг солнца, с точки зрения муравья...</w:t>
      </w:r>
    </w:p>
    <w:p w:rsidR="009F03E6" w:rsidRPr="009F03E6" w:rsidRDefault="009F03E6" w:rsidP="009F03E6">
      <w:pPr>
        <w:spacing w:after="0" w:line="240" w:lineRule="auto"/>
        <w:jc w:val="both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Полагая, что движение ума  эволюционно, что наука расширяет границы своих владений, овладевая новыми технологиями, рассматривая и вычисляя алгоритмы взаимодействия макро и </w:t>
      </w:r>
      <w:proofErr w:type="spellStart"/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микро-</w:t>
      </w: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lastRenderedPageBreak/>
        <w:t>миров</w:t>
      </w:r>
      <w:proofErr w:type="spellEnd"/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, такие шустрые умы-современники не учитывают  </w:t>
      </w:r>
      <w:proofErr w:type="spell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тороидальность</w:t>
      </w:r>
      <w:proofErr w:type="spell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пути внутрисистемного  времени, не учитывают и сферическое поле самосознания в каждом ограниченном мире. Миры вложены один в другой не параллельно,  но условно разделены по сферам духовности, то есть, Мерой сознания цели, мерой присутствия в них времени Идеи полного материнского цикла – эволюции и инволюции, сходящихся в точке Омега. Таких «мерных» точек восприятия начала и конца мира может быть столько, сколько мыслимо. 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Но для каждого взгляда существует единственная и неповторимая, точка фазового перехода личного восприятия от привычного уровня социума к планетарному, от планетарного к солнечному и т.д., к иному уровню бесконечномерного Сознания.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 Многоточия роста самосознания образуют линию судьбы бессмертной души человека.  Напомню, что мир сказочника - это его восприятие, в самом широком смысле слова.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Про время все твердят одно: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Бежит, торопится оно.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На самом деле всё не так.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Оно - проекция в овраг…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То складки Вечности в обители Земли -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 называют люди... временем пути…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***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Я говорила вам, что с Вечностью знакома?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Она сама меня и выгнала из Дома…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Но я... вернусь!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Я ей сказала, что вернусь…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Она ответила: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- Тогда живи, не трусь…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Ах, это Вечность говорила так со мною,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Когда упала я случайно в свет </w:t>
      </w:r>
      <w:proofErr w:type="gramStart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со</w:t>
      </w:r>
      <w:proofErr w:type="gramEnd"/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 xml:space="preserve"> мглою…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***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И в самом деле, ни слова, ни даже мысли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Не возникают там, где нет потоков жизни…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А, если жизнь, то, несомненно, свет и тьма,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Без двух полярностей нет царства для ума…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***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Вы… не поверите, а верить всё же надо: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Вы - ценный плод на древе жизни в лоне сада…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Когда дух в силах, он не станет говорить,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  <w:r w:rsidRPr="009F03E6"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  <w:t>Он весь - лавина, он велит творить и жить!</w:t>
      </w:r>
    </w:p>
    <w:p w:rsidR="009F03E6" w:rsidRPr="009F03E6" w:rsidRDefault="009F03E6" w:rsidP="009F03E6">
      <w:pPr>
        <w:spacing w:after="0" w:line="240" w:lineRule="auto"/>
        <w:jc w:val="center"/>
        <w:rPr>
          <w:rFonts w:ascii="Tahoma" w:eastAsia="Times New Roman" w:hAnsi="Tahoma" w:cs="Tahoma"/>
          <w:color w:val="0F243E" w:themeColor="text2" w:themeShade="80"/>
          <w:sz w:val="28"/>
          <w:szCs w:val="28"/>
          <w:lang w:eastAsia="ru-RU"/>
        </w:rPr>
      </w:pPr>
    </w:p>
    <w:p w:rsidR="001636B7" w:rsidRDefault="001636B7"/>
    <w:sectPr w:rsidR="001636B7" w:rsidSect="0016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E6"/>
    <w:rsid w:val="001636B7"/>
    <w:rsid w:val="009F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D%D0%BE%D1%82%D0%B5%D0%B8%D0%B7%D0%BC" TargetMode="External"/><Relationship Id="rId13" Type="http://schemas.openxmlformats.org/officeDocument/2006/relationships/hyperlink" Target="http://ru.wikipedia.org/wiki/%D0%9F%D1%80%D0%BE%D0%BC%D1%8B%D1%81%D0%BB_%D0%91%D0%BE%D0%B6%D0%B8%D0%B9" TargetMode="External"/><Relationship Id="rId18" Type="http://schemas.openxmlformats.org/officeDocument/2006/relationships/hyperlink" Target="http://ru.wikipedia.org/wiki/%D0%92%D0%B5%D1%80%D0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1%D0%BE%D0%B3" TargetMode="External"/><Relationship Id="rId12" Type="http://schemas.openxmlformats.org/officeDocument/2006/relationships/hyperlink" Target="http://ru.wikipedia.org/wiki/%D0%94%D0%B5%D0%B8%D0%B7%D0%BC" TargetMode="External"/><Relationship Id="rId17" Type="http://schemas.openxmlformats.org/officeDocument/2006/relationships/hyperlink" Target="http://ru.wikipedia.org/wiki/%D0%94%D0%B5%D0%B8%D0%B7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F%D0%B0%D0%BD%D1%82%D0%B5%D0%B8%D0%B7%D0%BC" TargetMode="External"/><Relationship Id="rId20" Type="http://schemas.openxmlformats.org/officeDocument/2006/relationships/hyperlink" Target="http://ru.wikipedia.org/wiki/%D0%A2%D0%B5%D0%B8%D0%B7%D0%BC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hyperlink" Target="http://ru.wikipedia.org/wiki/%D0%98%D1%81%D0%BB%D0%B0%D0%B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u.wikipedia.org/wiki/%D0%9F%D0%BE%D0%BB%D0%B8%D1%82%D0%B5%D0%B8%D0%B7%D0%BC" TargetMode="External"/><Relationship Id="rId10" Type="http://schemas.openxmlformats.org/officeDocument/2006/relationships/hyperlink" Target="http://ru.wikipedia.org/wiki/%D0%A5%D1%80%D0%B8%D1%81%D1%82%D0%B8%D0%B0%D0%BD%D1%81%D1%82%D0%B2%D0%BE" TargetMode="External"/><Relationship Id="rId19" Type="http://schemas.openxmlformats.org/officeDocument/2006/relationships/hyperlink" Target="http://ru.wikipedia.org/wiki/%D0%91%D0%BE%D0%B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8%D1%83%D0%B4%D0%B0%D0%B8%D0%B7%D0%BC" TargetMode="External"/><Relationship Id="rId14" Type="http://schemas.openxmlformats.org/officeDocument/2006/relationships/hyperlink" Target="http://ru.wikipedia.org/wiki/%D0%9C%D0%BE%D0%BD%D0%BE%D1%82%D0%B5%D0%B8%D0%B7%D0%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2498</Words>
  <Characters>14243</Characters>
  <Application>Microsoft Office Word</Application>
  <DocSecurity>0</DocSecurity>
  <Lines>118</Lines>
  <Paragraphs>33</Paragraphs>
  <ScaleCrop>false</ScaleCrop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Feano</dc:creator>
  <cp:keywords/>
  <dc:description/>
  <cp:lastModifiedBy>Feano</cp:lastModifiedBy>
  <cp:revision>1</cp:revision>
  <dcterms:created xsi:type="dcterms:W3CDTF">2019-07-15T05:27:00Z</dcterms:created>
  <dcterms:modified xsi:type="dcterms:W3CDTF">2019-07-15T05:29:00Z</dcterms:modified>
</cp:coreProperties>
</file>