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1" w:rsidRDefault="00CE43C1" w:rsidP="00CE43C1">
      <w:pPr>
        <w:pStyle w:val="1"/>
        <w:rPr>
          <w:sz w:val="28"/>
        </w:rPr>
      </w:pPr>
      <w:bookmarkStart w:id="0" w:name="_Toc108368221"/>
      <w:r>
        <w:rPr>
          <w:sz w:val="28"/>
        </w:rPr>
        <w:t>1.  ОСНОВЫ УПРАВЛЕНИЯ ИННОВАЦИЯМИ</w:t>
      </w:r>
      <w:bookmarkEnd w:id="0"/>
    </w:p>
    <w:p w:rsidR="00CE43C1" w:rsidRDefault="00CE43C1" w:rsidP="00CE43C1">
      <w:pPr>
        <w:pStyle w:val="2"/>
      </w:pPr>
      <w:bookmarkStart w:id="1" w:name="_Toc108368222"/>
      <w:r>
        <w:t>1.1. ИННОВАЦИОННЫЕ ПРОЦЕССЫ В МАШИНОСТРОЕНИИ РОССИЙСКОЙ ФЕДЕР</w:t>
      </w:r>
      <w:r>
        <w:t>А</w:t>
      </w:r>
      <w:r>
        <w:t>ЦИИ</w:t>
      </w:r>
      <w:bookmarkEnd w:id="1"/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Русский экономист Н.Д. Кондратьев установил в 1925 г. существование дли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ных волн, или больших циклов конъюнктуры. В результате этого исследования было определено, что в 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нове длинных волн (или циклов) протяженностью в 40-60 лет находится смена пассивной ча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ти капитала, к которой относятся здания, сооружения, коммуникации, передаточные устройства и т.д. В средние </w:t>
      </w:r>
      <w:proofErr w:type="spellStart"/>
      <w:proofErr w:type="gramStart"/>
      <w:r>
        <w:rPr>
          <w:rFonts w:ascii="Arial" w:hAnsi="Arial" w:cs="Arial"/>
        </w:rPr>
        <w:t>промы</w:t>
      </w:r>
      <w:r>
        <w:rPr>
          <w:rFonts w:ascii="Arial" w:hAnsi="Arial" w:cs="Arial"/>
        </w:rPr>
        <w:t>ш</w:t>
      </w:r>
      <w:proofErr w:type="spellEnd"/>
      <w:r>
        <w:rPr>
          <w:rFonts w:ascii="Arial" w:hAnsi="Arial" w:cs="Arial"/>
        </w:rPr>
        <w:t xml:space="preserve"> ленные</w:t>
      </w:r>
      <w:proofErr w:type="gramEnd"/>
      <w:r>
        <w:rPr>
          <w:rFonts w:ascii="Arial" w:hAnsi="Arial" w:cs="Arial"/>
        </w:rPr>
        <w:t xml:space="preserve"> циклы протяженностью в 7-10 лет входит замена активной части капитала в форме станочного оборудования, тран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портных средств и т. п. Короткие волны в 3 — 3,5 года распространялись на рыночные конъюнктурные изменения по отношению к о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ределенным видам продукции промышленности.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волновой теории Н.Д. Кондратьева австрийский экономист Йозеф </w:t>
      </w:r>
      <w:proofErr w:type="spellStart"/>
      <w:r>
        <w:rPr>
          <w:rFonts w:ascii="Arial" w:hAnsi="Arial" w:cs="Arial"/>
        </w:rPr>
        <w:t>Шумп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тер</w:t>
      </w:r>
      <w:proofErr w:type="spellEnd"/>
      <w:r>
        <w:rPr>
          <w:rFonts w:ascii="Arial" w:hAnsi="Arial" w:cs="Arial"/>
        </w:rPr>
        <w:t>, работавший в Гарвардском университете США, увидел возможность преод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ления кризисов и спадов в промышленном производстве за счет инновационного обновления капитала через технич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ские, организационные, экономические и управленческие нововведения. Приведенные </w:t>
      </w:r>
      <w:proofErr w:type="spellStart"/>
      <w:r>
        <w:rPr>
          <w:rFonts w:ascii="Arial" w:hAnsi="Arial" w:cs="Arial"/>
        </w:rPr>
        <w:t>Шумпетером</w:t>
      </w:r>
      <w:proofErr w:type="spellEnd"/>
      <w:r>
        <w:rPr>
          <w:rFonts w:ascii="Arial" w:hAnsi="Arial" w:cs="Arial"/>
        </w:rPr>
        <w:t xml:space="preserve"> деловые циклы прин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то в настоящее время связывать со сменой технологических укладов в общес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венном производстве.</w:t>
      </w:r>
    </w:p>
    <w:p w:rsidR="00CE43C1" w:rsidRDefault="00CE43C1" w:rsidP="00CE43C1">
      <w:pPr>
        <w:tabs>
          <w:tab w:val="left" w:pos="680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 российской экономике по ряду объективных причин еще не полностью использован поте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циал третьего и четвертого технологических укладов. Одновременно были созданы наукоемкие производства пятого технолог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ческого уклада. В табл. 1 приводится краткое содержание технологических укладов отечественной экон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мики.</w:t>
      </w:r>
    </w:p>
    <w:p w:rsidR="00CE43C1" w:rsidRDefault="00CE43C1" w:rsidP="00CE43C1">
      <w:p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Таблица 1.</w:t>
      </w:r>
    </w:p>
    <w:p w:rsidR="00CE43C1" w:rsidRDefault="00CE43C1" w:rsidP="00CE43C1">
      <w:pPr>
        <w:tabs>
          <w:tab w:val="left" w:pos="6804"/>
        </w:tabs>
        <w:spacing w:after="12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Краткое содержание технологических укладов отечественной экономики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CE43C1" w:rsidTr="000A31E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Порядковый номер технологич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ского уклада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3C1" w:rsidRDefault="00CE43C1" w:rsidP="000A31ED">
            <w:pPr>
              <w:tabs>
                <w:tab w:val="left" w:pos="6804"/>
              </w:tabs>
              <w:ind w:firstLine="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3C1" w:rsidRDefault="00CE43C1" w:rsidP="000A31ED">
            <w:pPr>
              <w:tabs>
                <w:tab w:val="left" w:pos="6804"/>
              </w:tabs>
              <w:ind w:firstLine="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3C1" w:rsidRDefault="00CE43C1" w:rsidP="000A31ED">
            <w:pPr>
              <w:tabs>
                <w:tab w:val="left" w:pos="6804"/>
              </w:tabs>
              <w:ind w:firstLine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43C1" w:rsidRDefault="00CE43C1" w:rsidP="000A31ED">
            <w:pPr>
              <w:tabs>
                <w:tab w:val="left" w:pos="6804"/>
              </w:tabs>
              <w:ind w:firstLine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доминиров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3C1" w:rsidRDefault="00CE43C1" w:rsidP="000A31ED">
            <w:pPr>
              <w:tabs>
                <w:tab w:val="left" w:pos="6804"/>
              </w:tabs>
              <w:ind w:firstLine="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1880-1930 гг.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3C1" w:rsidRDefault="00CE43C1" w:rsidP="000A31ED">
            <w:pPr>
              <w:tabs>
                <w:tab w:val="left" w:pos="6804"/>
              </w:tabs>
              <w:ind w:firstLine="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1930-1980 гг.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3C1" w:rsidRDefault="00CE43C1" w:rsidP="000A31ED">
            <w:pPr>
              <w:tabs>
                <w:tab w:val="left" w:pos="6804"/>
              </w:tabs>
              <w:ind w:firstLine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1980-2030 гг.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Ключ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вой фактор технологического у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лада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двигатель, сталь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Двигатель внутреннего сгор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Микроэлектро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ные эл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менты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23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комп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ненты доминир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вания технологического у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лада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Электротехнич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ское и тяжелое машиностро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ние, производство ст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ли, ЛЭП, неорган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ческая химия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Авто- и трактор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строение, цве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ная металлургия, синтетика, органич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ская химия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Электронная промышленность, вычислительная техника, програм</w:t>
            </w:r>
            <w:r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ное обеспечение, роботостро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ние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3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рующийся новый уклад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Автомобилестро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ние, органическа</w:t>
            </w:r>
            <w:r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химия, цветная металлу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гия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Радары, строительство трубопроводов, авиапромышле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 xml:space="preserve">ность, </w:t>
            </w:r>
            <w:proofErr w:type="spellStart"/>
            <w:r>
              <w:rPr>
                <w:rFonts w:ascii="Arial" w:hAnsi="Arial" w:cs="Arial"/>
              </w:rPr>
              <w:t>космоте</w:t>
            </w: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>ника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Биотехнология, тонкая химия, те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моядерный синтез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23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Преимущества данного технолог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ческого уклада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гибк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сти производства на основе электр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двигателя, ста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дартизация прои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водства</w:t>
            </w:r>
          </w:p>
        </w:tc>
        <w:tc>
          <w:tcPr>
            <w:tcW w:w="23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Массовое и серийное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изводство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tabs>
                <w:tab w:val="left" w:pos="6804"/>
              </w:tabs>
              <w:ind w:firstLine="1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Индивидуализ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ция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изводства и потребления, повыш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ние гибкости производства</w:t>
            </w:r>
          </w:p>
        </w:tc>
      </w:tr>
    </w:tbl>
    <w:p w:rsidR="00CE43C1" w:rsidRDefault="00CE43C1" w:rsidP="00CE43C1">
      <w:pPr>
        <w:tabs>
          <w:tab w:val="left" w:pos="6804"/>
        </w:tabs>
        <w:spacing w:before="12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Из этой таблицы видно, что в каждом технологическом укладе важная роль принадлежит машиностроению.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Выбор рациональной стратегии дальнейшего экономического развития стр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ны должен быть основан на наличии нормально функционирующего промышле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ного производства. Одним из сегментов в промышленности, обеспечивающим ее кач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ственные изменения и выполняющим роль технологического ядра, является машиностроительный комплекс. Поэтому развитие машиностроения с опережающими темпами по отношению к другим отраслям и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мышленности в целом вполне объяснимо, так как именно здесь производятся средства производства, заклад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ваются темпы роста производительности труда, факторы энергосбережения, сн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жения материалоемкости и нового качества конечного проду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та.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Однако переход к рыночной экономике в России наиболее тяжело и боле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ненно сказался на машиностроительном комплексе. За годы реформ объемы промышленного производства сократились в несколько раз, а доля машиностро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ния в промышленном выпуске продукции уменьшилась и составила около 20%. Для сравнения в Японии на машиностроение приходится 50-52%, в Германии и Швеции - 42-48%, во Франции и США -38-40% промышленной продукции. </w:t>
      </w:r>
      <w:proofErr w:type="gramStart"/>
      <w:r>
        <w:rPr>
          <w:rFonts w:ascii="Arial" w:hAnsi="Arial" w:cs="Arial"/>
        </w:rPr>
        <w:t>Одн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временно увеличились объемы сырьевого сектора экономики до 30%, а в сост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ве экспорта - до 54%. Доля российской экспортируемой машиностроительной продукции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ставляет всего лишь 6% экспорта страны, в то время как в Германии этот показатель равен 60-70%. Доля машиностроения в структуре промышленного производства России в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следние годы постепенно растет, приближаясь к 20% (в 2002 г. -19,6%).</w:t>
      </w:r>
      <w:proofErr w:type="gramEnd"/>
      <w:r>
        <w:rPr>
          <w:rFonts w:ascii="Arial" w:hAnsi="Arial" w:cs="Arial"/>
        </w:rPr>
        <w:t xml:space="preserve"> В Советском Союзе она доходила до 24 - 26%. В развитых странах доля машиностроительной продукции значительно 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ше и составляет от 35 до 50% от общепромышленного выпуска, что обеспечивает им возможность обновлять технологич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ское оборудование в большинстве отраслей каждые 7 - 10 лет, совершая при этом очередной рывок в своем технологическом ра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витии (Табл. 2).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настоящее время в машиностроении и металлообработке в России зарег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стрировано около 50 тыс. предприятий, на которых работает 3,9 млн. человек, что составляет третью часть трудоспособного населения, занятого в промышленн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сти.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Большая часть продукции машиностроения (около 91%) производится на 7500 крупных и средних предприятий, остальная часть - на малых предприятиях (5,6%) и на промы</w:t>
      </w:r>
      <w:r>
        <w:rPr>
          <w:rFonts w:ascii="Arial" w:hAnsi="Arial" w:cs="Arial"/>
        </w:rPr>
        <w:t>ш</w:t>
      </w:r>
      <w:r>
        <w:rPr>
          <w:rFonts w:ascii="Arial" w:hAnsi="Arial" w:cs="Arial"/>
        </w:rPr>
        <w:t>ленных подразделениях (3,4%) при непромышленных организациях (опытные производства). Из указанных 7500 крупных и средних предприятий наиболее значимыми для экономики страны я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ляются примерно 3300 предприятий, их деятельность до марта 2004 г. курировалась </w:t>
      </w:r>
      <w:proofErr w:type="spellStart"/>
      <w:r>
        <w:rPr>
          <w:rFonts w:ascii="Arial" w:hAnsi="Arial" w:cs="Arial"/>
        </w:rPr>
        <w:t>Минпромнаукой</w:t>
      </w:r>
      <w:proofErr w:type="spellEnd"/>
      <w:r>
        <w:rPr>
          <w:rFonts w:ascii="Arial" w:hAnsi="Arial" w:cs="Arial"/>
        </w:rPr>
        <w:t xml:space="preserve"> России и оборо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ными агентствами (</w:t>
      </w:r>
      <w:proofErr w:type="spellStart"/>
      <w:r>
        <w:rPr>
          <w:rFonts w:ascii="Arial" w:hAnsi="Arial" w:cs="Arial"/>
        </w:rPr>
        <w:t>Росавиакосмос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Россудостроение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Росбоеприпасы</w:t>
      </w:r>
      <w:proofErr w:type="spellEnd"/>
      <w:r>
        <w:rPr>
          <w:rFonts w:ascii="Arial" w:hAnsi="Arial" w:cs="Arial"/>
        </w:rPr>
        <w:t>, Росси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ское агентство по обычным вооружениям, Российское агентство по сист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мам управления).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на 1 января 2004 г. 93% машиностроительных предприятий и организаций имеют форму акционерных обществ, а основная доля </w:t>
      </w:r>
      <w:r>
        <w:rPr>
          <w:rFonts w:ascii="Arial" w:hAnsi="Arial" w:cs="Arial"/>
        </w:rPr>
        <w:lastRenderedPageBreak/>
        <w:t>государственной собственности ско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центрирована в научно-исследовательских и проектных организ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циях.</w:t>
      </w:r>
    </w:p>
    <w:p w:rsidR="00CE43C1" w:rsidRDefault="00CE43C1" w:rsidP="00CE43C1">
      <w:pPr>
        <w:tabs>
          <w:tab w:val="left" w:pos="6804"/>
        </w:tabs>
        <w:spacing w:before="12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Таблица 2.</w:t>
      </w:r>
    </w:p>
    <w:p w:rsidR="00CE43C1" w:rsidRDefault="00CE43C1" w:rsidP="00CE43C1">
      <w:pPr>
        <w:tabs>
          <w:tab w:val="left" w:pos="6804"/>
        </w:tabs>
        <w:spacing w:after="240"/>
        <w:ind w:firstLine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Доля машиностроительной продукции в общепромышленном выпуске отдел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ных стран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9"/>
        <w:gridCol w:w="1670"/>
        <w:gridCol w:w="2938"/>
        <w:gridCol w:w="1603"/>
      </w:tblGrid>
      <w:tr w:rsidR="00CE43C1" w:rsidTr="000A31ED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Страна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spacing w:line="278" w:lineRule="exact"/>
              <w:ind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Доля </w:t>
            </w:r>
            <w:r>
              <w:rPr>
                <w:rFonts w:ascii="Arial" w:hAnsi="Arial" w:cs="Arial"/>
                <w:spacing w:val="-4"/>
              </w:rPr>
              <w:t>машино</w:t>
            </w:r>
            <w:r>
              <w:rPr>
                <w:rFonts w:ascii="Arial" w:hAnsi="Arial" w:cs="Arial"/>
                <w:spacing w:val="-5"/>
              </w:rPr>
              <w:t>стро</w:t>
            </w:r>
            <w:r>
              <w:rPr>
                <w:rFonts w:ascii="Arial" w:hAnsi="Arial" w:cs="Arial"/>
                <w:spacing w:val="-5"/>
              </w:rPr>
              <w:t>е</w:t>
            </w:r>
            <w:r>
              <w:rPr>
                <w:rFonts w:ascii="Arial" w:hAnsi="Arial" w:cs="Arial"/>
                <w:spacing w:val="-5"/>
              </w:rPr>
              <w:t>ния, %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Страна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spacing w:line="278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Доля маш</w:t>
            </w:r>
            <w:r>
              <w:rPr>
                <w:rFonts w:ascii="Arial" w:hAnsi="Arial" w:cs="Arial"/>
                <w:spacing w:val="-4"/>
              </w:rPr>
              <w:t>и</w:t>
            </w:r>
            <w:r>
              <w:rPr>
                <w:rFonts w:ascii="Arial" w:hAnsi="Arial" w:cs="Arial"/>
                <w:spacing w:val="-4"/>
              </w:rPr>
              <w:t>но</w:t>
            </w:r>
            <w:r>
              <w:rPr>
                <w:rFonts w:ascii="Arial" w:hAnsi="Arial" w:cs="Arial"/>
                <w:spacing w:val="-6"/>
              </w:rPr>
              <w:t>строения, %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Россия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tabs>
                <w:tab w:val="left" w:pos="1446"/>
              </w:tabs>
              <w:ind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3"/>
              </w:rPr>
              <w:t>19,6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Англия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39,6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Пол</w:t>
            </w:r>
            <w:r>
              <w:rPr>
                <w:rFonts w:ascii="Arial" w:hAnsi="Arial" w:cs="Arial"/>
                <w:spacing w:val="-4"/>
              </w:rPr>
              <w:t>ь</w:t>
            </w:r>
            <w:r>
              <w:rPr>
                <w:rFonts w:ascii="Arial" w:hAnsi="Arial" w:cs="Arial"/>
                <w:spacing w:val="-4"/>
              </w:rPr>
              <w:t>ша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tabs>
                <w:tab w:val="left" w:pos="1446"/>
              </w:tabs>
              <w:ind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27,8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Канада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40,5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Китай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tabs>
                <w:tab w:val="left" w:pos="1446"/>
              </w:tabs>
              <w:ind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35,2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3"/>
              </w:rPr>
              <w:t>США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46,0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Италия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tabs>
                <w:tab w:val="left" w:pos="1446"/>
              </w:tabs>
              <w:ind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36,4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Япония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51,5</w:t>
            </w:r>
          </w:p>
        </w:tc>
      </w:tr>
      <w:tr w:rsidR="00CE43C1" w:rsidTr="000A31E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Фра</w:t>
            </w:r>
            <w:r>
              <w:rPr>
                <w:rFonts w:ascii="Arial" w:hAnsi="Arial" w:cs="Arial"/>
                <w:spacing w:val="-6"/>
              </w:rPr>
              <w:t>н</w:t>
            </w:r>
            <w:r>
              <w:rPr>
                <w:rFonts w:ascii="Arial" w:hAnsi="Arial" w:cs="Arial"/>
                <w:spacing w:val="-6"/>
              </w:rPr>
              <w:t>ция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tabs>
                <w:tab w:val="left" w:pos="1446"/>
              </w:tabs>
              <w:ind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39,3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Герм</w:t>
            </w:r>
            <w:r>
              <w:rPr>
                <w:rFonts w:ascii="Arial" w:hAnsi="Arial" w:cs="Arial"/>
                <w:spacing w:val="-6"/>
              </w:rPr>
              <w:t>а</w:t>
            </w:r>
            <w:r>
              <w:rPr>
                <w:rFonts w:ascii="Arial" w:hAnsi="Arial" w:cs="Arial"/>
                <w:spacing w:val="-6"/>
              </w:rPr>
              <w:t>ния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3C1" w:rsidRDefault="00CE43C1" w:rsidP="000A31E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>53,6</w:t>
            </w:r>
          </w:p>
        </w:tc>
      </w:tr>
    </w:tbl>
    <w:p w:rsidR="00CE43C1" w:rsidRDefault="00CE43C1" w:rsidP="00CE43C1">
      <w:pPr>
        <w:tabs>
          <w:tab w:val="left" w:pos="6804"/>
        </w:tabs>
        <w:spacing w:before="24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К сожалению, этот показатель в России даже в относительных величинах в 1,5 - 2 раза ниже, что является основной причиной постепенного отставания отечественной промышленности по техническому уровню от разв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тых стран.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Одной из основных проблем, переживаемой отечественным машиностроением, я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ляется неудовлетворительное состояние активной части основных фондов, т.е. парка технологич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ского оборудования, большая часть которого физически и морально устар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ла. По данным </w:t>
      </w:r>
      <w:proofErr w:type="spellStart"/>
      <w:r>
        <w:rPr>
          <w:rFonts w:ascii="Arial" w:hAnsi="Arial" w:cs="Arial"/>
        </w:rPr>
        <w:t>Роскомстата</w:t>
      </w:r>
      <w:proofErr w:type="spellEnd"/>
      <w:r>
        <w:rPr>
          <w:rFonts w:ascii="Arial" w:hAnsi="Arial" w:cs="Arial"/>
        </w:rPr>
        <w:t xml:space="preserve"> РФ 65% оборудования находится в эксплуатации более 15-20 лет, а оборудование, которое можно назвать совр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менным, т.е. срок эксплуатации которого меньше 5 лет,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ставляет менее 5%.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Темпы обновления технологической базы в машиностроении низкие и в финансовом 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ражении составляют не более 5% в год, что почти вдвое ниже, чем в среднем по промышленности (8,7%). В физическом выражении эти темпы еще ниже и не превыш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ют 2,5%.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абсолютном выражении величина инвестиций в машиностроительный комплекс сост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вила в 2003 году 59,2 млрд. руб., и, несмотря на некоторый рост (112,9% по сравнению с 2002 г.), составляет лишь 7,8% от инвестиций, направляемых на развитие других отраслей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мышленности чисто по машиностроению эта доля составляет 4,4%, что явно не соответствует значимости машиностроения в экономике стр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ны.</w:t>
      </w:r>
      <w:proofErr w:type="gramEnd"/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Собственные источники предприятий составляют 78,4% от объема инвестиций. В то вр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мя как в развитых странах соотношение обратное - 70-80% средств, идущих на инвестиции, составляют обычно заемные или привл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ченные средства.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Общее финансовое состояние предприятий машиностроения на конец 2002 г. характеризуется почти двукратным превышением кред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торской задолженности (408,2 млрд. руб.) над дебиторской (221,1 млрд. руб.).</w:t>
      </w:r>
      <w:proofErr w:type="gramEnd"/>
      <w:r>
        <w:rPr>
          <w:rFonts w:ascii="Arial" w:hAnsi="Arial" w:cs="Arial"/>
        </w:rPr>
        <w:t xml:space="preserve"> Просроченная кредиторская задолженность предприятий м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шиностроения составляет четверть от всей просроченной задолженности в промышленности и продолжает расти. Все это г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ворит о сложном финансовом положении предприятий и недостатке у них собственных оборо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ных средств.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Рентабельность производства, имевшая после 1998 года тенденции к росту и достигшая 17%, вновь снизилась, составив в 2002 г. 12,5%, а количество убыто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>ных предприятий, снизившееся с 40,3% в 1998 г. до 23,1% в 2000 г., в 2002 г. по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нялось и достигло почти 41%. При этом снижается сальдированный финансовый результат, абсолютная величина которого и так непозволительно мала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37 млрд. руб.).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машиностроении и металлообработке занята третья часть промышленного производственного персонала страны. Однако производительность труда, т.е. 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работка продукции на одного работающего в машиностроении - одна из самых низких в промышленности и соста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ляет 361 тыс. рублей за 2003 год. В среднем по промышленности этот показатель достигает 716 тыс. руб. в год. Соответстве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но и уровень заработной платы в машиностроении в 2003 году составил 5232 рублей в месяц, что почти на четверть ниже, чем в целом по промышленности - 6788 рублей. В связи с этим в отрасли обостряю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ся кадровые проблемы.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Со второй половины 2001 года проявилось замедление темпов роста в маш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ностроении. И хотя за 2003 год темпы составили 109,4%, в </w:t>
      </w:r>
      <w:proofErr w:type="gramStart"/>
      <w:r>
        <w:rPr>
          <w:rFonts w:ascii="Arial" w:hAnsi="Arial" w:cs="Arial"/>
        </w:rPr>
        <w:t>отдельных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подотраслях</w:t>
      </w:r>
      <w:proofErr w:type="spellEnd"/>
      <w:r>
        <w:rPr>
          <w:rFonts w:ascii="Arial" w:hAnsi="Arial" w:cs="Arial"/>
        </w:rPr>
        <w:t xml:space="preserve"> машиностроения 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пуск не достиг уровня 2002 года. Так в металлургическом машиностроении снижение те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>пов производства составило 6%, в тракторном и сельскохозяйственном машиностроении -23,6%. На замедление темпов роста ск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зались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вынужденное удорожание продукции машиностроения вследствие опер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жающего роста цен на продукцию и услуги «естественных» монополий (н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пример, за 2002 г. индекс цен в электроэнергетике составил 127,5%, в топливных отраслях - 122,5%, в то же время а машин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строени</w:t>
      </w:r>
      <w:proofErr w:type="gramStart"/>
      <w:r>
        <w:rPr>
          <w:rFonts w:ascii="Arial" w:hAnsi="Arial" w:cs="Arial"/>
        </w:rPr>
        <w:t>и-</w:t>
      </w:r>
      <w:proofErr w:type="gramEnd"/>
      <w:r>
        <w:rPr>
          <w:rFonts w:ascii="Arial" w:hAnsi="Arial" w:cs="Arial"/>
        </w:rPr>
        <w:t xml:space="preserve"> всего109,3%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исчерпание фактора </w:t>
      </w:r>
      <w:proofErr w:type="spellStart"/>
      <w:r>
        <w:rPr>
          <w:rFonts w:ascii="Arial" w:hAnsi="Arial" w:cs="Arial"/>
        </w:rPr>
        <w:t>импортозамещения</w:t>
      </w:r>
      <w:proofErr w:type="spellEnd"/>
      <w:r>
        <w:rPr>
          <w:rFonts w:ascii="Arial" w:hAnsi="Arial" w:cs="Arial"/>
        </w:rPr>
        <w:t xml:space="preserve"> и возможностей роста экспорта.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Исходя из характера рынков машиностроительной продукции, </w:t>
      </w:r>
      <w:proofErr w:type="spellStart"/>
      <w:r>
        <w:rPr>
          <w:rFonts w:ascii="Arial" w:hAnsi="Arial" w:cs="Arial"/>
        </w:rPr>
        <w:t>подотрасли</w:t>
      </w:r>
      <w:proofErr w:type="spellEnd"/>
      <w:r>
        <w:rPr>
          <w:rFonts w:ascii="Arial" w:hAnsi="Arial" w:cs="Arial"/>
        </w:rPr>
        <w:t xml:space="preserve"> можно подра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делить на пять групп: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Группа </w:t>
      </w:r>
      <w:proofErr w:type="gramStart"/>
      <w:r>
        <w:rPr>
          <w:rFonts w:ascii="Arial" w:hAnsi="Arial" w:cs="Arial"/>
        </w:rPr>
        <w:t>наукоемких</w:t>
      </w:r>
      <w:proofErr w:type="gramEnd"/>
      <w:r>
        <w:rPr>
          <w:rFonts w:ascii="Arial" w:hAnsi="Arial" w:cs="Arial"/>
        </w:rPr>
        <w:t xml:space="preserve"> (комплектующих) </w:t>
      </w:r>
      <w:proofErr w:type="spellStart"/>
      <w:r>
        <w:rPr>
          <w:rFonts w:ascii="Arial" w:hAnsi="Arial" w:cs="Arial"/>
        </w:rPr>
        <w:t>подотраслей</w:t>
      </w:r>
      <w:proofErr w:type="spellEnd"/>
      <w:r>
        <w:rPr>
          <w:rFonts w:ascii="Arial" w:hAnsi="Arial" w:cs="Arial"/>
        </w:rPr>
        <w:t xml:space="preserve"> (электротехника, прибор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строение, станкостроение и др.), занимающих центральное положение в структ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ре комплекса. Эти </w:t>
      </w:r>
      <w:proofErr w:type="spellStart"/>
      <w:r>
        <w:rPr>
          <w:rFonts w:ascii="Arial" w:hAnsi="Arial" w:cs="Arial"/>
        </w:rPr>
        <w:t>подотрасли</w:t>
      </w:r>
      <w:proofErr w:type="spellEnd"/>
      <w:r>
        <w:rPr>
          <w:rFonts w:ascii="Arial" w:hAnsi="Arial" w:cs="Arial"/>
        </w:rPr>
        <w:t xml:space="preserve"> развиваются в соответствии с потребностями др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гих отраслей промышленности, включая и само машиностроение;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Группа инвестиционного машиностроения (тяжелое, энергетическое, тран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портное, нефтяное, строительно-дорожное машиностроение, производство оборудования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ТЭК). Развитие </w:t>
      </w:r>
      <w:proofErr w:type="spellStart"/>
      <w:r>
        <w:rPr>
          <w:rFonts w:ascii="Arial" w:hAnsi="Arial" w:cs="Arial"/>
        </w:rPr>
        <w:t>подотраслей</w:t>
      </w:r>
      <w:proofErr w:type="spellEnd"/>
      <w:r>
        <w:rPr>
          <w:rFonts w:ascii="Arial" w:hAnsi="Arial" w:cs="Arial"/>
        </w:rPr>
        <w:t xml:space="preserve"> этой группы определяется инвестиционной активностью топливно-энергетического, транспортного и строительного ко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>плексов.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Группа </w:t>
      </w:r>
      <w:proofErr w:type="spellStart"/>
      <w:r>
        <w:rPr>
          <w:rFonts w:ascii="Arial" w:hAnsi="Arial" w:cs="Arial"/>
        </w:rPr>
        <w:t>подотраслей</w:t>
      </w:r>
      <w:proofErr w:type="spellEnd"/>
      <w:r>
        <w:rPr>
          <w:rFonts w:ascii="Arial" w:hAnsi="Arial" w:cs="Arial"/>
        </w:rPr>
        <w:t xml:space="preserve"> сельскохозяйственного машиностроения, машин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строения для перерабатывающих отраслей АПК и предприятий легкой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мышленности. Их развитие зависит от платежеспособности предприятий сельского хозяйства, легкой промышленности и частично от спроса насел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ния.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Автомобильная промышленность, а также предприятия, выпускающие товары народного потребления, они ориентированы в основном на потребительский спрос населения (домашние х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зяйства).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Оборонные </w:t>
      </w:r>
      <w:proofErr w:type="spellStart"/>
      <w:r>
        <w:rPr>
          <w:rFonts w:ascii="Arial" w:hAnsi="Arial" w:cs="Arial"/>
        </w:rPr>
        <w:t>подотрасли</w:t>
      </w:r>
      <w:proofErr w:type="spellEnd"/>
      <w:r>
        <w:rPr>
          <w:rFonts w:ascii="Arial" w:hAnsi="Arial" w:cs="Arial"/>
        </w:rPr>
        <w:t xml:space="preserve">, продукция которых направляется в организации и предприятия силовых министерств и на экспорт (например, через </w:t>
      </w:r>
      <w:proofErr w:type="spellStart"/>
      <w:r>
        <w:rPr>
          <w:rFonts w:ascii="Arial" w:hAnsi="Arial" w:cs="Arial"/>
        </w:rPr>
        <w:t>Рособоронэк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порт</w:t>
      </w:r>
      <w:proofErr w:type="spellEnd"/>
      <w:r>
        <w:rPr>
          <w:rFonts w:ascii="Arial" w:hAnsi="Arial" w:cs="Arial"/>
        </w:rPr>
        <w:t>).</w:t>
      </w:r>
      <w:proofErr w:type="gramEnd"/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в 2003 году машиностроительной продукции было выпущено на 1388,6 млрд. ру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лей.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Исследования показали, что в настоящее время наиболее перспективными секторами рынка для машиностроения являются: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автомобильный;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энергомашиностроения и оборудования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ТЭК;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транспортного машиностроения;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продукции оборонно-промышленного комплекса;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отдельных видов товаров народного потребления;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сельскохозяйственной техники;</w:t>
      </w:r>
    </w:p>
    <w:p w:rsidR="00CE43C1" w:rsidRDefault="00CE43C1" w:rsidP="00CE43C1">
      <w:pPr>
        <w:numPr>
          <w:ilvl w:val="0"/>
          <w:numId w:val="1"/>
        </w:numPr>
        <w:tabs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станкостроения.</w:t>
      </w:r>
    </w:p>
    <w:p w:rsidR="00CE43C1" w:rsidRDefault="00CE43C1" w:rsidP="00CE43C1">
      <w:pPr>
        <w:pStyle w:val="2"/>
      </w:pPr>
      <w:bookmarkStart w:id="2" w:name="_Toc107576043"/>
      <w:bookmarkStart w:id="3" w:name="_Toc108368223"/>
      <w:r>
        <w:t>1.2. ТВОРЧЕСКИ АКТИВНЫЙ ОБРАЗ ЖИЗНИ</w:t>
      </w:r>
      <w:bookmarkEnd w:id="2"/>
      <w:bookmarkEnd w:id="3"/>
    </w:p>
    <w:p w:rsidR="00CE43C1" w:rsidRDefault="00CE43C1" w:rsidP="00CE43C1">
      <w:pPr>
        <w:tabs>
          <w:tab w:val="left" w:pos="6804"/>
        </w:tabs>
        <w:spacing w:before="120" w:after="120"/>
        <w:ind w:firstLine="425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«Творчество жизни – вот главная цель» (Н.И. </w:t>
      </w:r>
      <w:proofErr w:type="spellStart"/>
      <w:r>
        <w:rPr>
          <w:rFonts w:ascii="Arial" w:hAnsi="Arial" w:cs="Arial"/>
          <w:i/>
        </w:rPr>
        <w:t>Рубанов</w:t>
      </w:r>
      <w:proofErr w:type="spellEnd"/>
      <w:r>
        <w:rPr>
          <w:rFonts w:ascii="Arial" w:hAnsi="Arial" w:cs="Arial"/>
          <w:i/>
        </w:rPr>
        <w:t>)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Творчески активный образ жизни (в дальнейшем Т0Ж) является одной из важнейших частей </w:t>
      </w:r>
      <w:proofErr w:type="spellStart"/>
      <w:r>
        <w:rPr>
          <w:rFonts w:ascii="Arial" w:hAnsi="Arial" w:cs="Arial"/>
        </w:rPr>
        <w:t>творчествоведения</w:t>
      </w:r>
      <w:proofErr w:type="spellEnd"/>
      <w:r>
        <w:rPr>
          <w:rFonts w:ascii="Arial" w:hAnsi="Arial" w:cs="Arial"/>
        </w:rPr>
        <w:t>, научной и практической миссией котор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го, по существу, является сбор знаний о ТОЖ, просвещение каждого индивида и социум в целом о необходимости вести такой образ жизни. В частности, о знач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нии ТОЖ для лиц, активно участвующих в инновационной деятельности, свид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тельствует следующий факт. В США 25% банкро</w:t>
      </w:r>
      <w:proofErr w:type="gramStart"/>
      <w:r>
        <w:rPr>
          <w:rFonts w:ascii="Arial" w:hAnsi="Arial" w:cs="Arial"/>
        </w:rPr>
        <w:t>тств пр</w:t>
      </w:r>
      <w:proofErr w:type="gramEnd"/>
      <w:r>
        <w:rPr>
          <w:rFonts w:ascii="Arial" w:hAnsi="Arial" w:cs="Arial"/>
        </w:rPr>
        <w:t>оисходит из-за серьезных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блем со здоровьем у этой категории лиц и вызываемыми в связи с этим финансовыми 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тратами на его восстановление. Только ТОЖ позволяет сохранять высокую и дл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тельную работоспособность при </w:t>
      </w:r>
      <w:proofErr w:type="spellStart"/>
      <w:r>
        <w:rPr>
          <w:rFonts w:ascii="Arial" w:hAnsi="Arial" w:cs="Arial"/>
        </w:rPr>
        <w:t>высокодинамичном</w:t>
      </w:r>
      <w:proofErr w:type="spellEnd"/>
      <w:r>
        <w:rPr>
          <w:rFonts w:ascii="Arial" w:hAnsi="Arial" w:cs="Arial"/>
        </w:rPr>
        <w:t xml:space="preserve"> и напряженном у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>ственном труде, характерном для инновационного менеджмента и в целом для современн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образа жизни. 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Творчески активный образ жизни представляет собой жизнедеятельность, базирующуюся на гуманно ориентированном творчестве индивида и социума с необход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мыми для этого условиями. ТОЖ включает творчески активный труд и творчески наполненное время отдыха. </w:t>
      </w:r>
      <w:proofErr w:type="gramStart"/>
      <w:r>
        <w:rPr>
          <w:rFonts w:ascii="Arial" w:hAnsi="Arial" w:cs="Arial"/>
        </w:rPr>
        <w:t>Таким образом, ТОЖ комплексно характеризует все сферы жизнедеятельности людей: труд, отдых, быт (включая с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мейно-брачные отношения), образование, культуру, поддержание и улучшение здоровья, спорт], общественную и духовную жизнь.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 числу участников он по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разделяется на индивидуальный и групповой и базируется на развитии творческих способн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стей, творчески активном мышлении, духовности и душевности.</w:t>
      </w:r>
      <w:proofErr w:type="gramEnd"/>
      <w:r>
        <w:rPr>
          <w:rFonts w:ascii="Arial" w:hAnsi="Arial" w:cs="Arial"/>
        </w:rPr>
        <w:t xml:space="preserve"> В качестве обо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щающего критерия оценки уровня индивидуального и </w:t>
      </w:r>
      <w:proofErr w:type="spellStart"/>
      <w:r>
        <w:rPr>
          <w:rFonts w:ascii="Arial" w:hAnsi="Arial" w:cs="Arial"/>
        </w:rPr>
        <w:t>гpyппoвoro</w:t>
      </w:r>
      <w:proofErr w:type="spellEnd"/>
      <w:r>
        <w:rPr>
          <w:rFonts w:ascii="Arial" w:hAnsi="Arial" w:cs="Arial"/>
        </w:rPr>
        <w:t xml:space="preserve"> творчески акти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ного образа жизни может применяться ДОТВ-показатель, пре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ложенный </w:t>
      </w:r>
      <w:proofErr w:type="spellStart"/>
      <w:r>
        <w:rPr>
          <w:rFonts w:ascii="Arial" w:hAnsi="Arial" w:cs="Arial"/>
        </w:rPr>
        <w:t>д.э</w:t>
      </w:r>
      <w:proofErr w:type="gramStart"/>
      <w:r>
        <w:rPr>
          <w:rFonts w:ascii="Arial" w:hAnsi="Arial" w:cs="Arial"/>
        </w:rPr>
        <w:t>.н</w:t>
      </w:r>
      <w:proofErr w:type="spellEnd"/>
      <w:proofErr w:type="gramEnd"/>
      <w:r>
        <w:rPr>
          <w:rFonts w:ascii="Arial" w:hAnsi="Arial" w:cs="Arial"/>
        </w:rPr>
        <w:t xml:space="preserve"> , проф. Ивановым А.В.</w:t>
      </w: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sym w:font="Symbol" w:char="F05D"/>
      </w:r>
      <w:r>
        <w:rPr>
          <w:rFonts w:ascii="Arial" w:hAnsi="Arial" w:cs="Arial"/>
        </w:rPr>
        <w:t>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Творчески активный труд представляет в общем виде творчество в процессе любой производственно-хозяйственной деятельности, повышение профессионализма, адаптивности, формирование рационального режима и у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ловий труда и отдыха.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создаются новшества (новации), представляющие  не имеющие исторических аналогов новые обычаи, методы, изобретения, открытия, и </w:t>
      </w:r>
      <w:proofErr w:type="spellStart"/>
      <w:r>
        <w:rPr>
          <w:rFonts w:ascii="Arial" w:hAnsi="Arial" w:cs="Arial"/>
        </w:rPr>
        <w:t>новвоведения</w:t>
      </w:r>
      <w:proofErr w:type="spellEnd"/>
      <w:r>
        <w:rPr>
          <w:rFonts w:ascii="Arial" w:hAnsi="Arial" w:cs="Arial"/>
        </w:rPr>
        <w:t xml:space="preserve"> (инновации), предста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ляющие практическое использование новшества.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основе самотестирования творческих способностей (см. прилож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ние Б) может быть составлена персональная программа их пов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шения.</w:t>
      </w:r>
    </w:p>
    <w:p w:rsidR="00CE43C1" w:rsidRDefault="00CE43C1" w:rsidP="00CE43C1">
      <w:pPr>
        <w:tabs>
          <w:tab w:val="left" w:pos="6804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Творчески наполненный отдых представляет рациональное использование свободною времени, ведение здоровью образа жизни (ЗОЖ)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>ключающею одух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творенность, искусство чистоты мышления, дыхания, питания, движения и фи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культуры, сна, общения с людьми и природой, умение жить в энергетических и информационных полях, активную гуманно ориентированную семейную и общ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ственную жизнь.</w:t>
      </w:r>
    </w:p>
    <w:p w:rsidR="004D5A2C" w:rsidRDefault="004D5A2C">
      <w:bookmarkStart w:id="4" w:name="_GoBack"/>
      <w:bookmarkEnd w:id="4"/>
    </w:p>
    <w:sectPr w:rsidR="004D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2D5"/>
    <w:multiLevelType w:val="hybridMultilevel"/>
    <w:tmpl w:val="18BEA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1"/>
    <w:rsid w:val="004D5A2C"/>
    <w:rsid w:val="00C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3C1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autoRedefine/>
    <w:qFormat/>
    <w:rsid w:val="00CE43C1"/>
    <w:pPr>
      <w:keepNext/>
      <w:ind w:left="113" w:right="454"/>
      <w:jc w:val="center"/>
      <w:outlineLvl w:val="1"/>
    </w:pPr>
    <w:rPr>
      <w:b/>
      <w:bCs/>
      <w:w w:val="12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C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43C1"/>
    <w:rPr>
      <w:rFonts w:ascii="Times New Roman" w:eastAsia="Times New Roman" w:hAnsi="Times New Roman" w:cs="Times New Roman"/>
      <w:b/>
      <w:bCs/>
      <w:w w:val="129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3C1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autoRedefine/>
    <w:qFormat/>
    <w:rsid w:val="00CE43C1"/>
    <w:pPr>
      <w:keepNext/>
      <w:ind w:left="113" w:right="454"/>
      <w:jc w:val="center"/>
      <w:outlineLvl w:val="1"/>
    </w:pPr>
    <w:rPr>
      <w:b/>
      <w:bCs/>
      <w:w w:val="12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C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43C1"/>
    <w:rPr>
      <w:rFonts w:ascii="Times New Roman" w:eastAsia="Times New Roman" w:hAnsi="Times New Roman" w:cs="Times New Roman"/>
      <w:b/>
      <w:bCs/>
      <w:w w:val="129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</dc:creator>
  <cp:lastModifiedBy>azen</cp:lastModifiedBy>
  <cp:revision>1</cp:revision>
  <dcterms:created xsi:type="dcterms:W3CDTF">2014-10-22T17:14:00Z</dcterms:created>
  <dcterms:modified xsi:type="dcterms:W3CDTF">2014-10-22T17:16:00Z</dcterms:modified>
</cp:coreProperties>
</file>